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2E" w:rsidRPr="00985D42" w:rsidRDefault="00D43B2E" w:rsidP="00D43B2E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D43B2E" w:rsidRPr="00985D42" w:rsidRDefault="00D43B2E" w:rsidP="00D43B2E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43B2E" w:rsidRPr="00985D42" w:rsidRDefault="00D43B2E" w:rsidP="00D43B2E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43B2E" w:rsidRPr="00985D42" w:rsidRDefault="00D43B2E" w:rsidP="00D43B2E">
      <w:pPr>
        <w:rPr>
          <w:rFonts w:ascii="Times New Roman" w:hAnsi="Times New Roman" w:cs="Times New Roman"/>
          <w:sz w:val="28"/>
          <w:szCs w:val="28"/>
        </w:rPr>
        <w:sectPr w:rsidR="00D43B2E" w:rsidRPr="00985D42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3F354D" w:rsidRPr="00985D42" w:rsidRDefault="00D43B2E" w:rsidP="00D43B2E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85D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5D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985D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85D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934325" w:rsidRPr="00985D42">
        <w:rPr>
          <w:rFonts w:ascii="Times New Roman" w:hAnsi="Times New Roman" w:cs="Times New Roman"/>
          <w:sz w:val="28"/>
          <w:szCs w:val="28"/>
        </w:rPr>
        <w:br w:type="column"/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934325"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934325"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85D4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="00934325"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934325"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="00934325"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34325"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934325"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34325"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34325" w:rsidRPr="00985D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985D4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934325" w:rsidRPr="00985D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934325"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934325"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="00934325" w:rsidRPr="00985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34325" w:rsidRPr="00985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="00934325" w:rsidRPr="00985D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934325" w:rsidRPr="00985D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="00934325" w:rsidRPr="00985D4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3F354D" w:rsidRPr="00985D42" w:rsidRDefault="003F354D">
      <w:pPr>
        <w:rPr>
          <w:rFonts w:ascii="Times New Roman" w:hAnsi="Times New Roman" w:cs="Times New Roman"/>
          <w:sz w:val="28"/>
          <w:szCs w:val="28"/>
        </w:rPr>
        <w:sectPr w:rsidR="003F354D" w:rsidRPr="00985D42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3F354D" w:rsidRPr="00985D42" w:rsidRDefault="003F354D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786D96" w:rsidRPr="00985D42" w:rsidRDefault="00786D96" w:rsidP="00786D96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985D42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3F354D" w:rsidRPr="00985D42" w:rsidRDefault="003F354D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3F354D" w:rsidRPr="00985D42" w:rsidRDefault="003F354D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3F354D" w:rsidRPr="00985D42" w:rsidRDefault="003F354D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3F354D" w:rsidRPr="00985D42" w:rsidRDefault="003F354D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3F354D" w:rsidRPr="00985D42" w:rsidRDefault="003F354D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3F354D" w:rsidRPr="00985D42" w:rsidRDefault="003F354D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3F354D" w:rsidRPr="00985D42" w:rsidRDefault="003F354D">
      <w:pPr>
        <w:spacing w:after="7" w:line="12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3F354D" w:rsidRPr="00985D42" w:rsidRDefault="00934325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85D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20" behindDoc="1" locked="0" layoutInCell="0" allowOverlap="1" wp14:anchorId="42E9FF56" wp14:editId="25F54DE0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3F354D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F354D" w:rsidRDefault="00786D96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F354D" w:rsidRDefault="003F354D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F354D" w:rsidRDefault="00934325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УРА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АВЕ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3F354D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F354D" w:rsidRDefault="00786D9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F354D" w:rsidRPr="00786D96" w:rsidRDefault="00934325" w:rsidP="00786D9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хи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фармз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proofErr w:type="spellEnd"/>
                                  <w:r w:rsidR="00786D9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уыты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786D9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kk-KZ"/>
                                    </w:rPr>
                                    <w:t>ААҚ</w:t>
                                  </w:r>
                                </w:p>
                              </w:tc>
                            </w:tr>
                            <w:tr w:rsidR="003F354D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F354D" w:rsidRPr="00786D96" w:rsidRDefault="00786D9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F354D" w:rsidRPr="00786D96" w:rsidRDefault="00786D96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  <w:lang w:val="kk-KZ"/>
                                    </w:rPr>
                                    <w:t>РЕСЕЙ</w:t>
                                  </w:r>
                                </w:p>
                              </w:tc>
                            </w:tr>
                          </w:tbl>
                          <w:p w:rsidR="009C2568" w:rsidRDefault="009C2568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3F354D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F354D" w:rsidRDefault="00786D96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F354D" w:rsidRDefault="003F354D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F354D" w:rsidRDefault="00934325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УРА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АВЕ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</w:tr>
                      <w:tr w:rsidR="003F354D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F354D" w:rsidRDefault="00786D9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F354D" w:rsidRPr="00786D96" w:rsidRDefault="00934325" w:rsidP="00786D9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хи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фармз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proofErr w:type="spellEnd"/>
                            <w:r w:rsidR="00786D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уыты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86D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kk-KZ"/>
                              </w:rPr>
                              <w:t>ААҚ</w:t>
                            </w:r>
                          </w:p>
                        </w:tc>
                      </w:tr>
                      <w:tr w:rsidR="003F354D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F354D" w:rsidRPr="00786D96" w:rsidRDefault="00786D9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F354D" w:rsidRPr="00786D96" w:rsidRDefault="00786D96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  <w:lang w:val="kk-KZ"/>
                              </w:rPr>
                              <w:t>РЕСЕЙ</w:t>
                            </w:r>
                          </w:p>
                        </w:tc>
                      </w:tr>
                    </w:tbl>
                    <w:p w:rsidR="009C2568" w:rsidRDefault="009C2568"/>
                  </w:txbxContent>
                </v:textbox>
                <w10:wrap anchorx="page"/>
              </v:shape>
            </w:pict>
          </mc:Fallback>
        </mc:AlternateContent>
      </w:r>
      <w:r w:rsidR="00786D96" w:rsidRPr="00985D42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Есептен құпия ақпарат жойылд</w:t>
      </w:r>
      <w:r w:rsidR="00786D96" w:rsidRPr="00985D4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3F354D" w:rsidRPr="00985D42" w:rsidRDefault="003F354D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  <w:bookmarkStart w:id="0" w:name="_GoBack"/>
      <w:bookmarkEnd w:id="0"/>
    </w:p>
    <w:p w:rsidR="003F354D" w:rsidRPr="00985D42" w:rsidRDefault="003F354D">
      <w:pPr>
        <w:spacing w:after="2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3F354D" w:rsidRPr="00985D42" w:rsidRDefault="00934325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85D42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1</w:t>
      </w:r>
      <w:r w:rsidRPr="00985D4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985D4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786D96" w:rsidRPr="00985D4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3F354D" w:rsidRPr="00985D42" w:rsidRDefault="003F354D">
      <w:pPr>
        <w:spacing w:after="5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3F354D" w:rsidRPr="00985D42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93432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786D96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3F354D" w:rsidRPr="00985D42" w:rsidRDefault="003F354D">
      <w:pPr>
        <w:spacing w:after="3" w:line="220" w:lineRule="exact"/>
        <w:rPr>
          <w:rFonts w:ascii="Times New Roman" w:hAnsi="Times New Roman" w:cs="Times New Roman"/>
          <w:sz w:val="28"/>
          <w:szCs w:val="28"/>
        </w:rPr>
      </w:pPr>
    </w:p>
    <w:p w:rsidR="003F354D" w:rsidRPr="00985D42" w:rsidRDefault="00934325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985D42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2</w:t>
      </w:r>
      <w:r w:rsidRPr="00985D42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985D4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786D96" w:rsidRPr="00985D42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3F354D" w:rsidRPr="00985D42" w:rsidRDefault="003F354D">
      <w:pPr>
        <w:spacing w:line="32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3F354D" w:rsidRPr="00985D42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93432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786D9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3F354D" w:rsidRPr="00985D42">
        <w:trPr>
          <w:cantSplit/>
          <w:trHeight w:hRule="exact" w:val="3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3F354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4D" w:rsidRPr="00985D42" w:rsidRDefault="003F354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4D" w:rsidRPr="00985D42" w:rsidRDefault="003F354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4D" w:rsidRPr="00985D42" w:rsidRDefault="003F354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4D" w:rsidRPr="00985D42" w:rsidRDefault="003F354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4D" w:rsidRPr="00985D42" w:rsidRDefault="003F354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4D" w:rsidRPr="00985D42" w:rsidRDefault="003F354D">
            <w:pPr>
              <w:spacing w:after="6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4D" w:rsidRPr="00985D42" w:rsidRDefault="0093432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786D96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786D96">
            <w:pPr>
              <w:widowControl w:val="0"/>
              <w:tabs>
                <w:tab w:val="left" w:pos="495"/>
                <w:tab w:val="left" w:pos="937"/>
                <w:tab w:val="left" w:pos="1651"/>
                <w:tab w:val="left" w:pos="1970"/>
                <w:tab w:val="left" w:pos="2871"/>
                <w:tab w:val="left" w:pos="3479"/>
                <w:tab w:val="left" w:pos="3938"/>
                <w:tab w:val="left" w:pos="4423"/>
                <w:tab w:val="left" w:pos="5044"/>
                <w:tab w:val="left" w:pos="5374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Белсенді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нитрофурал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қолданылады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ФС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физикалық-химиялық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субстанциялардың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жеткілікті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көлемде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Сапа ЕФ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талаптарына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</w:t>
            </w:r>
            <w:proofErr w:type="gram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сапа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тұрақтылығын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дәлелдейді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өнімнің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біртектілігі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сериядан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серияға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сақталады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бақылауда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қолданылатын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әдістерінің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барабарлығын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толық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растайды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ФС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өнімде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ұсынылады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F354D" w:rsidRPr="00985D42">
        <w:trPr>
          <w:cantSplit/>
          <w:trHeight w:hRule="exact" w:val="23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3F354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4D" w:rsidRPr="00985D42" w:rsidRDefault="003F354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4D" w:rsidRPr="00985D42" w:rsidRDefault="003F354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4D" w:rsidRPr="00985D42" w:rsidRDefault="003F354D">
            <w:pPr>
              <w:spacing w:after="9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4D" w:rsidRPr="00985D42" w:rsidRDefault="00934325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786D96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3F354D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4D" w:rsidRPr="00985D42" w:rsidRDefault="00786D96" w:rsidP="00786D96">
            <w:pPr>
              <w:widowControl w:val="0"/>
              <w:spacing w:line="240" w:lineRule="auto"/>
              <w:ind w:left="60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Эксципиенттер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барлық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фармакопеялық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.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Фармакопеялық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талаптарға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сәйкес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барлық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эксципиенттерге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кіріс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бақылауының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деректері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ұсынылған</w:t>
            </w:r>
            <w:proofErr w:type="gram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.П</w:t>
            </w:r>
            <w:proofErr w:type="gram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репараттың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құрамында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ҚР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аумағында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қолдануға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тыйым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салынған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қосалқы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заттар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жоқ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;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бояғыштар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адам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немесе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жануар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тектес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қосалқы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заттар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пайдаланылмайды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</w:p>
        </w:tc>
      </w:tr>
      <w:tr w:rsidR="003F354D" w:rsidRPr="00985D42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93432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3724E7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Дәрілік </w:t>
            </w:r>
            <w:r w:rsidR="00934325"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934325"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="00934325"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="00934325" w:rsidRPr="00985D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934325"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</w:tbl>
    <w:p w:rsidR="003F354D" w:rsidRPr="00985D42" w:rsidRDefault="003F354D">
      <w:pPr>
        <w:rPr>
          <w:rFonts w:ascii="Times New Roman" w:hAnsi="Times New Roman" w:cs="Times New Roman"/>
          <w:sz w:val="28"/>
          <w:szCs w:val="28"/>
        </w:rPr>
        <w:sectPr w:rsidR="003F354D" w:rsidRPr="00985D42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3F354D" w:rsidRPr="00985D42">
        <w:trPr>
          <w:cantSplit/>
          <w:trHeight w:hRule="exact" w:val="2375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3F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D1564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3F354D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4D" w:rsidRPr="00985D42" w:rsidRDefault="00D15643" w:rsidP="00D15643">
            <w:pPr>
              <w:widowControl w:val="0"/>
              <w:spacing w:line="240" w:lineRule="auto"/>
              <w:ind w:left="6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GMP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талаптарын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қанағаттандыратын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өнді</w:t>
            </w:r>
            <w:proofErr w:type="gram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proofErr w:type="gram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іс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процесінде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өндіріс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процесінің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толық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сипаттамасы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Валидациялық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сынақтардың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өнді</w:t>
            </w:r>
            <w:proofErr w:type="gram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proofErr w:type="gram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істік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процесс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тұрақты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екенін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көрсетеді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дайын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өнімге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фирманың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өзіндік ерекшеліктің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барлық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параметрлері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бойынша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сәйкес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келетін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сериядан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серия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ғ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алуға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мүмкіндік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береді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</w:tr>
      <w:tr w:rsidR="003F354D" w:rsidRPr="00985D42">
        <w:trPr>
          <w:cantSplit/>
          <w:trHeight w:hRule="exact" w:val="294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3F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D1564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ерекшеліктері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D15643" w:rsidP="00D15643">
            <w:pPr>
              <w:widowControl w:val="0"/>
              <w:tabs>
                <w:tab w:val="left" w:pos="1821"/>
                <w:tab w:val="left" w:pos="2123"/>
                <w:tab w:val="left" w:pos="2954"/>
                <w:tab w:val="left" w:pos="3370"/>
                <w:tab w:val="left" w:pos="4384"/>
                <w:tab w:val="left" w:pos="4764"/>
                <w:tab w:val="left" w:pos="5105"/>
                <w:tab w:val="left" w:pos="5494"/>
                <w:tab w:val="left" w:pos="5859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I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CH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Q2, Q6, Q3 А 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нұсқаудың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шеңберінде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ерекшелік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негіздемесі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препараттың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қолданылатын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әдістерінің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барабарлығын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Аналитикалық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валидациясының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мәлімделген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</w:t>
            </w:r>
            <w:proofErr w:type="gram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proofErr w:type="gram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ілік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заттың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әдеттегі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мүмкіндігін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растайды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бі</w:t>
            </w:r>
            <w:proofErr w:type="gram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proofErr w:type="gram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ізді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сертификаттары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өнімнің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мен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біртектілігі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сериядан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серияға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сақталатынын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процесс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бақылауда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екенін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</w:tr>
      <w:tr w:rsidR="003F354D" w:rsidRPr="00985D42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3F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D1564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5643" w:rsidRPr="00985D42" w:rsidRDefault="00D15643" w:rsidP="00D1564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ICH Q1A (R2), Q1 C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жүргізілді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985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Бастапқы қаптама мәлімделген деректерге сәйкес келеді. 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D15643" w:rsidRPr="00985D42" w:rsidRDefault="00D15643" w:rsidP="00D1564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</w:t>
            </w:r>
            <w:proofErr w:type="gram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мерз</w:t>
            </w:r>
            <w:proofErr w:type="gram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імді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нәтижелеріне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препарат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сапасының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сыни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көрсеткіштерінің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елеулі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өзгерістері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байқалмайды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D15643" w:rsidRPr="00985D42" w:rsidRDefault="00D15643" w:rsidP="00D1564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D15643" w:rsidRPr="00985D42" w:rsidRDefault="00D15643" w:rsidP="00D1564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1.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AE00C6"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өзіндік ерекшелік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келеді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</w:p>
          <w:p w:rsidR="00D15643" w:rsidRPr="00985D42" w:rsidRDefault="00D15643" w:rsidP="00D1564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D15643" w:rsidRPr="00985D42" w:rsidRDefault="00D15643" w:rsidP="00D1564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2.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Қоспалардың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құрамы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AE00C6"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өзіндік ерекшелік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шегінде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болады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</w:p>
          <w:p w:rsidR="00D15643" w:rsidRPr="00985D42" w:rsidRDefault="00D15643" w:rsidP="00D1564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D15643" w:rsidRPr="00985D42" w:rsidRDefault="00D15643" w:rsidP="00D1564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3.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Әсер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етуші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заттың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сандық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құрамының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елеулі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өзгерістері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байқалмайды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D15643" w:rsidRPr="00985D42" w:rsidRDefault="00D15643" w:rsidP="00D1564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3F354D" w:rsidRPr="00985D42" w:rsidRDefault="00D15643" w:rsidP="00D15643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Препараттың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тұрақтылығын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зерттеу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мәлімделген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сақтау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мерзімін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жыл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растайды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3F354D" w:rsidRPr="00985D42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93432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93432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="00AE00C6" w:rsidRPr="00985D4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ологиялық қадағалау </w:t>
            </w:r>
          </w:p>
        </w:tc>
      </w:tr>
      <w:tr w:rsidR="003F354D" w:rsidRPr="00985D42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3F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AE00C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Клиника</w:t>
            </w:r>
            <w:proofErr w:type="gram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ға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дейінгі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аспектілер</w:t>
            </w:r>
            <w:proofErr w:type="spellEnd"/>
            <w:r w:rsidRPr="00985D4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985D4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54D" w:rsidRPr="00985D42" w:rsidRDefault="003F3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54D" w:rsidRPr="00985D42" w:rsidRDefault="003F354D">
      <w:pPr>
        <w:spacing w:after="2" w:line="120" w:lineRule="exact"/>
        <w:rPr>
          <w:rFonts w:ascii="Times New Roman" w:hAnsi="Times New Roman" w:cs="Times New Roman"/>
          <w:sz w:val="28"/>
          <w:szCs w:val="28"/>
        </w:rPr>
      </w:pPr>
    </w:p>
    <w:p w:rsidR="003F354D" w:rsidRPr="00985D42" w:rsidRDefault="00934325">
      <w:pPr>
        <w:widowControl w:val="0"/>
        <w:spacing w:line="244" w:lineRule="auto"/>
        <w:ind w:left="17" w:right="99"/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</w:pP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Осы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құжат</w:t>
      </w:r>
      <w:proofErr w:type="spellEnd"/>
      <w:r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«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Электрондық</w:t>
      </w:r>
      <w:proofErr w:type="spellEnd"/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құжат</w:t>
      </w:r>
      <w:proofErr w:type="spellEnd"/>
      <w:r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және</w:t>
      </w:r>
      <w:proofErr w:type="spellEnd"/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электрондық</w:t>
      </w:r>
      <w:proofErr w:type="spellEnd"/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цифрлық</w:t>
      </w:r>
      <w:proofErr w:type="spellEnd"/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қолтаңба</w:t>
      </w:r>
      <w:proofErr w:type="spellEnd"/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туралы</w:t>
      </w:r>
      <w:proofErr w:type="spellEnd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»</w:t>
      </w:r>
      <w:r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="00AE00C6"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2003</w:t>
      </w:r>
      <w:r w:rsidR="00AE00C6"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AE00C6"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жылғы</w:t>
      </w:r>
      <w:proofErr w:type="spellEnd"/>
      <w:r w:rsidR="00AE00C6"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AE00C6"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7</w:t>
      </w:r>
      <w:r w:rsidR="00AE00C6"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AE00C6"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қаңтардағы</w:t>
      </w:r>
      <w:proofErr w:type="spellEnd"/>
      <w:r w:rsidR="00AE00C6"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Қазақстан</w:t>
      </w:r>
      <w:proofErr w:type="spellEnd"/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Республикасының</w:t>
      </w:r>
      <w:proofErr w:type="spellEnd"/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N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370II</w:t>
      </w:r>
      <w:proofErr w:type="gramStart"/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З</w:t>
      </w:r>
      <w:proofErr w:type="gramEnd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аңы</w:t>
      </w:r>
      <w:proofErr w:type="spellEnd"/>
      <w:r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7</w:t>
      </w:r>
      <w:r w:rsidR="00AE00C6"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>-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бабының</w:t>
      </w:r>
      <w:proofErr w:type="spellEnd"/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1</w:t>
      </w:r>
      <w:r w:rsidR="00AE00C6" w:rsidRPr="00985D42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-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тармағына</w:t>
      </w:r>
      <w:proofErr w:type="spellEnd"/>
      <w:r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сәйкес</w:t>
      </w:r>
      <w:proofErr w:type="spellEnd"/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қағаз</w:t>
      </w:r>
      <w:proofErr w:type="spellEnd"/>
      <w:r w:rsidR="00AE00C6"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  <w:lang w:val="kk-KZ"/>
        </w:rPr>
        <w:t xml:space="preserve"> жеткізгіштегі 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құжатпен</w:t>
      </w:r>
      <w:proofErr w:type="spellEnd"/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бірдей</w:t>
      </w:r>
      <w:proofErr w:type="spellEnd"/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.</w:t>
      </w:r>
    </w:p>
    <w:p w:rsidR="003F354D" w:rsidRPr="00985D42" w:rsidRDefault="00934325">
      <w:pPr>
        <w:widowControl w:val="0"/>
        <w:spacing w:before="50" w:line="244" w:lineRule="auto"/>
        <w:ind w:left="17" w:right="233"/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</w:pPr>
      <w:r w:rsidRPr="00985D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724" behindDoc="1" locked="0" layoutInCell="0" allowOverlap="1" wp14:anchorId="4EB956BA" wp14:editId="3740FAEF">
                <wp:simplePos x="0" y="0"/>
                <wp:positionH relativeFrom="page">
                  <wp:posOffset>719963</wp:posOffset>
                </wp:positionH>
                <wp:positionV relativeFrom="paragraph">
                  <wp:posOffset>327532</wp:posOffset>
                </wp:positionV>
                <wp:extent cx="5675121" cy="112471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121" cy="1124711"/>
                          <a:chOff x="0" y="0"/>
                          <a:chExt cx="5675121" cy="112471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137666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275204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412871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550409" y="0"/>
                            <a:ext cx="1124711" cy="1124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Данный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документ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согласно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пункту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1</w:t>
      </w:r>
      <w:r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статьи</w:t>
      </w:r>
      <w:r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7</w:t>
      </w:r>
      <w:r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ЗРК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от</w:t>
      </w:r>
      <w:r w:rsidRPr="00985D42">
        <w:rPr>
          <w:rFonts w:ascii="Times New Roman" w:eastAsia="Arial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7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января</w:t>
      </w:r>
      <w:r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2003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года</w:t>
      </w:r>
      <w:r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N370-II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«Об</w:t>
      </w:r>
      <w:r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электронном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документе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и</w:t>
      </w:r>
      <w:r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электронной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цифровой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подписи»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равнозначен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документу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на</w:t>
      </w:r>
      <w:r w:rsidRPr="00985D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бумажном</w:t>
      </w:r>
      <w:r w:rsidRPr="00985D42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5D42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носителе.</w:t>
      </w:r>
      <w:r w:rsidRPr="00985D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52E762BD" wp14:editId="11C3C42E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3F354D" w:rsidRPr="00D43B2E" w:rsidRDefault="0093432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D43B2E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3F354D" w:rsidRPr="00D43B2E" w:rsidRDefault="0093432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D43B2E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3F354D" w:rsidRPr="00D43B2E" w:rsidRDefault="00985D42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985D42">
                              <w:rPr>
                                <w:lang w:val="en-US"/>
                              </w:rPr>
                              <w:instrText xml:space="preserve"> HYPERLINK "https://www.sautinsoft.com/products/pdf-focus/order.php" \h </w:instrText>
                            </w:r>
                            <w:r>
                              <w:fldChar w:fldCharType="separate"/>
                            </w:r>
                            <w:r w:rsidR="00934325" w:rsidRPr="00D43B2E"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Get the full version of PDF Focus .Net.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" o:spid="_x0000_s1027" type="#_x0000_t202" style="position:absolute;left:0;text-align:left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" o:allowincell="f" stroked="f">
                <v:textbox>
                  <w:txbxContent>
                    <w:p w:rsidR="003F354D" w:rsidRDefault="00934325">
                      <w:pPr>
                        <w:spacing w:line="240" w:lineRule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Created by the trial version of PDF Focus .Net 6.9.7.6!</w:t>
                      </w:r>
                    </w:p>
                    <w:p w:rsidR="003F354D" w:rsidRDefault="00934325">
                      <w:pPr>
                        <w:spacing w:line="240" w:lineRule="auto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The trial version sometimes inserts "trial" into random places.</w:t>
                      </w:r>
                    </w:p>
                    <w:p w:rsidR="003F354D" w:rsidRDefault="00934325">
                      <w:pPr>
                        <w:spacing w:line="240" w:lineRule="auto"/>
                      </w:pPr>
                      <w:hyperlink r:id="rId11">
                        <w:r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F354D" w:rsidRPr="00985D42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4D"/>
    <w:rsid w:val="003724E7"/>
    <w:rsid w:val="003F354D"/>
    <w:rsid w:val="00786D96"/>
    <w:rsid w:val="00934325"/>
    <w:rsid w:val="00985D42"/>
    <w:rsid w:val="009C2568"/>
    <w:rsid w:val="00AE00C6"/>
    <w:rsid w:val="00D15643"/>
    <w:rsid w:val="00D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sautinsoft.com/products/pdf-focus/order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2020-03-21T18:13:00Z</dcterms:created>
  <dcterms:modified xsi:type="dcterms:W3CDTF">2020-04-02T18:40:00Z</dcterms:modified>
</cp:coreProperties>
</file>